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7308A" w14:textId="77777777" w:rsidR="001E2757" w:rsidRDefault="00F077DD" w:rsidP="001E2757">
      <w:pPr>
        <w:rPr>
          <w:rFonts w:ascii="Calibri" w:eastAsia="Calibri" w:hAnsi="Calibri" w:cs="Times New Roman"/>
          <w:b/>
          <w:sz w:val="28"/>
          <w:szCs w:val="28"/>
        </w:rPr>
      </w:pPr>
      <w:r>
        <w:rPr>
          <w:rFonts w:ascii="Calibri" w:eastAsia="Calibri" w:hAnsi="Calibri" w:cs="Times New Roman"/>
          <w:b/>
          <w:sz w:val="28"/>
          <w:szCs w:val="28"/>
        </w:rPr>
        <w:t xml:space="preserve">            </w:t>
      </w:r>
      <w:r w:rsidR="001E2757">
        <w:rPr>
          <w:rFonts w:ascii="Calibri" w:eastAsia="Calibri" w:hAnsi="Calibri" w:cs="Times New Roman"/>
          <w:b/>
          <w:noProof/>
          <w:sz w:val="28"/>
          <w:szCs w:val="28"/>
        </w:rPr>
        <w:drawing>
          <wp:inline distT="0" distB="0" distL="0" distR="0" wp14:anchorId="50FDD766" wp14:editId="4A3877B1">
            <wp:extent cx="13049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r>
        <w:rPr>
          <w:rFonts w:ascii="Calibri" w:eastAsia="Calibri" w:hAnsi="Calibri" w:cs="Times New Roman"/>
          <w:b/>
          <w:sz w:val="28"/>
          <w:szCs w:val="28"/>
        </w:rPr>
        <w:t xml:space="preserve">         </w:t>
      </w:r>
      <w:r w:rsidR="001E2757">
        <w:rPr>
          <w:rFonts w:ascii="Calibri" w:eastAsia="Calibri" w:hAnsi="Calibri" w:cs="Times New Roman"/>
          <w:b/>
          <w:sz w:val="28"/>
          <w:szCs w:val="28"/>
        </w:rPr>
        <w:t xml:space="preserve">   </w:t>
      </w:r>
    </w:p>
    <w:p w14:paraId="5B9363C1" w14:textId="449981E1" w:rsidR="00F077DD" w:rsidRPr="001E2757" w:rsidRDefault="001E2757" w:rsidP="001E2757">
      <w:pPr>
        <w:rPr>
          <w:rFonts w:ascii="Calibri" w:eastAsia="Calibri" w:hAnsi="Calibri" w:cs="Times New Roman"/>
          <w:b/>
          <w:sz w:val="28"/>
          <w:szCs w:val="28"/>
        </w:rPr>
      </w:pPr>
      <w:r>
        <w:rPr>
          <w:rFonts w:ascii="Calibri" w:eastAsia="Calibri" w:hAnsi="Calibri" w:cs="Times New Roman"/>
          <w:b/>
          <w:sz w:val="28"/>
          <w:szCs w:val="28"/>
        </w:rPr>
        <w:t xml:space="preserve">                          </w:t>
      </w:r>
      <w:r w:rsidR="00F077DD" w:rsidRPr="00F077DD">
        <w:rPr>
          <w:rFonts w:ascii="Calibri" w:eastAsia="Calibri" w:hAnsi="Calibri" w:cs="Times New Roman"/>
          <w:b/>
          <w:sz w:val="28"/>
          <w:szCs w:val="28"/>
        </w:rPr>
        <w:t>Child Development Programmatic Outcomes Data</w:t>
      </w:r>
    </w:p>
    <w:p w14:paraId="4146247C" w14:textId="77777777" w:rsidR="00F077DD" w:rsidRDefault="00F077DD" w:rsidP="00BB7317">
      <w:pPr>
        <w:spacing w:after="0"/>
        <w:jc w:val="center"/>
        <w:rPr>
          <w:rFonts w:asciiTheme="majorHAnsi" w:hAnsiTheme="majorHAnsi" w:cstheme="majorHAnsi"/>
          <w:b/>
          <w:u w:val="single"/>
        </w:rPr>
      </w:pPr>
    </w:p>
    <w:p w14:paraId="59F097B7" w14:textId="4A02CE8F" w:rsidR="00F077DD" w:rsidRPr="001E2757" w:rsidRDefault="00BB7317" w:rsidP="001E2757">
      <w:pPr>
        <w:spacing w:after="0"/>
        <w:jc w:val="center"/>
        <w:rPr>
          <w:rFonts w:asciiTheme="majorHAnsi" w:hAnsiTheme="majorHAnsi" w:cstheme="majorHAnsi"/>
          <w:b/>
          <w:u w:val="single"/>
        </w:rPr>
      </w:pPr>
      <w:r w:rsidRPr="00F077DD">
        <w:rPr>
          <w:rFonts w:asciiTheme="majorHAnsi" w:hAnsiTheme="majorHAnsi" w:cstheme="majorHAnsi"/>
          <w:b/>
          <w:u w:val="single"/>
        </w:rPr>
        <w:t>KKC N</w:t>
      </w:r>
      <w:r w:rsidR="00F077DD">
        <w:rPr>
          <w:rFonts w:asciiTheme="majorHAnsi" w:hAnsiTheme="majorHAnsi" w:cstheme="majorHAnsi"/>
          <w:b/>
          <w:u w:val="single"/>
        </w:rPr>
        <w:t xml:space="preserve">ational Association for the Education of Young Children (NAEYC) </w:t>
      </w:r>
      <w:r w:rsidR="00F077DD" w:rsidRPr="00F077DD">
        <w:rPr>
          <w:rFonts w:asciiTheme="majorHAnsi" w:hAnsiTheme="majorHAnsi" w:cstheme="majorHAnsi"/>
          <w:b/>
          <w:u w:val="single"/>
        </w:rPr>
        <w:t>Data</w:t>
      </w:r>
    </w:p>
    <w:p w14:paraId="5B93E089" w14:textId="77777777" w:rsidR="00F077DD" w:rsidRDefault="00F077DD" w:rsidP="00F077DD">
      <w:pPr>
        <w:spacing w:before="60" w:after="60" w:line="240" w:lineRule="auto"/>
        <w:rPr>
          <w:rFonts w:asciiTheme="majorHAnsi" w:hAnsiTheme="majorHAnsi" w:cstheme="majorHAnsi"/>
          <w:b/>
          <w:sz w:val="20"/>
        </w:rPr>
      </w:pPr>
    </w:p>
    <w:p w14:paraId="106FA116" w14:textId="70E28DCC" w:rsidR="00BB7317" w:rsidRPr="00F077DD" w:rsidRDefault="00BB7317" w:rsidP="00F077DD">
      <w:pPr>
        <w:spacing w:before="60" w:after="60" w:line="240" w:lineRule="auto"/>
        <w:rPr>
          <w:rFonts w:asciiTheme="majorHAnsi" w:hAnsiTheme="majorHAnsi" w:cstheme="majorHAnsi"/>
          <w:sz w:val="20"/>
        </w:rPr>
      </w:pPr>
      <w:r w:rsidRPr="00B774F4">
        <w:rPr>
          <w:rFonts w:asciiTheme="majorHAnsi" w:hAnsiTheme="majorHAnsi" w:cstheme="majorHAnsi"/>
          <w:b/>
          <w:sz w:val="20"/>
        </w:rPr>
        <w:t xml:space="preserve">Outcome Measure #1: The Number of Program Completers </w:t>
      </w:r>
    </w:p>
    <w:p w14:paraId="258392E0" w14:textId="368F0C97" w:rsidR="00BB7317" w:rsidRPr="00B774F4" w:rsidRDefault="001E2757" w:rsidP="00F077DD">
      <w:pPr>
        <w:spacing w:before="60" w:after="60"/>
        <w:rPr>
          <w:rFonts w:asciiTheme="majorHAnsi" w:hAnsiTheme="majorHAnsi" w:cstheme="majorHAnsi"/>
          <w:sz w:val="20"/>
        </w:rPr>
      </w:pPr>
      <w:r w:rsidRPr="001E2757">
        <w:rPr>
          <w:rFonts w:asciiTheme="majorHAnsi" w:hAnsiTheme="majorHAnsi" w:cstheme="majorHAnsi"/>
          <w:b/>
          <w:sz w:val="20"/>
        </w:rPr>
        <w:t>PROGRAM NAME</w:t>
      </w:r>
      <w:r>
        <w:rPr>
          <w:rFonts w:asciiTheme="majorHAnsi" w:hAnsiTheme="majorHAnsi" w:cstheme="majorHAnsi"/>
          <w:sz w:val="20"/>
        </w:rPr>
        <w:t>: Child Development (AAS)-Preschool Education</w:t>
      </w:r>
    </w:p>
    <w:tbl>
      <w:tblPr>
        <w:tblStyle w:val="TableGrid1"/>
        <w:tblW w:w="5000" w:type="pct"/>
        <w:tblLook w:val="04A0" w:firstRow="1" w:lastRow="0" w:firstColumn="1" w:lastColumn="0" w:noHBand="0" w:noVBand="1"/>
      </w:tblPr>
      <w:tblGrid>
        <w:gridCol w:w="2064"/>
        <w:gridCol w:w="2160"/>
        <w:gridCol w:w="2611"/>
        <w:gridCol w:w="2515"/>
      </w:tblGrid>
      <w:tr w:rsidR="00BB7317" w:rsidRPr="00B774F4" w14:paraId="487E7520" w14:textId="77777777" w:rsidTr="007B08D0">
        <w:tc>
          <w:tcPr>
            <w:tcW w:w="1104" w:type="pct"/>
          </w:tcPr>
          <w:p w14:paraId="43A65299"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Academic Year</w:t>
            </w:r>
          </w:p>
        </w:tc>
        <w:tc>
          <w:tcPr>
            <w:tcW w:w="1155" w:type="pct"/>
          </w:tcPr>
          <w:p w14:paraId="5EBB8C66"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Number of program completers</w:t>
            </w:r>
          </w:p>
        </w:tc>
        <w:tc>
          <w:tcPr>
            <w:tcW w:w="1396" w:type="pct"/>
          </w:tcPr>
          <w:p w14:paraId="5C061692"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of program completers who were attending full-time (at the time of completion)</w:t>
            </w:r>
          </w:p>
        </w:tc>
        <w:tc>
          <w:tcPr>
            <w:tcW w:w="1345" w:type="pct"/>
          </w:tcPr>
          <w:p w14:paraId="709CBFFE"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of program completers who were attending part-time</w:t>
            </w:r>
            <w:r w:rsidRPr="00B774F4">
              <w:rPr>
                <w:rFonts w:asciiTheme="majorHAnsi" w:hAnsiTheme="majorHAnsi" w:cstheme="majorHAnsi"/>
                <w:color w:val="000000" w:themeColor="text1"/>
                <w:sz w:val="22"/>
                <w:szCs w:val="22"/>
                <w:vertAlign w:val="superscript"/>
              </w:rPr>
              <w:footnoteReference w:id="1"/>
            </w:r>
            <w:r w:rsidRPr="00B774F4">
              <w:rPr>
                <w:rFonts w:asciiTheme="majorHAnsi" w:hAnsiTheme="majorHAnsi" w:cstheme="majorHAnsi"/>
                <w:color w:val="000000" w:themeColor="text1"/>
                <w:sz w:val="22"/>
                <w:szCs w:val="22"/>
              </w:rPr>
              <w:t xml:space="preserve"> (at the time of completion)</w:t>
            </w:r>
          </w:p>
        </w:tc>
      </w:tr>
      <w:tr w:rsidR="00BB7317" w:rsidRPr="00B774F4" w14:paraId="0D910C44" w14:textId="77777777" w:rsidTr="00BB7317">
        <w:tc>
          <w:tcPr>
            <w:tcW w:w="1104" w:type="pct"/>
          </w:tcPr>
          <w:p w14:paraId="36601E39"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2018-2019</w:t>
            </w:r>
          </w:p>
        </w:tc>
        <w:tc>
          <w:tcPr>
            <w:tcW w:w="1155" w:type="pct"/>
            <w:vAlign w:val="center"/>
          </w:tcPr>
          <w:p w14:paraId="20744321" w14:textId="0C6D74C7" w:rsidR="00BB7317" w:rsidRPr="00B774F4" w:rsidRDefault="009F5A90" w:rsidP="00BB7317">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6</w:t>
            </w:r>
          </w:p>
        </w:tc>
        <w:tc>
          <w:tcPr>
            <w:tcW w:w="1396" w:type="pct"/>
            <w:vAlign w:val="center"/>
          </w:tcPr>
          <w:p w14:paraId="27401B56"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0%</w:t>
            </w:r>
          </w:p>
        </w:tc>
        <w:tc>
          <w:tcPr>
            <w:tcW w:w="1345" w:type="pct"/>
            <w:vAlign w:val="center"/>
          </w:tcPr>
          <w:p w14:paraId="61657D9E"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100%</w:t>
            </w:r>
          </w:p>
        </w:tc>
      </w:tr>
      <w:tr w:rsidR="00BB7317" w:rsidRPr="00B774F4" w14:paraId="68D2E87C" w14:textId="77777777" w:rsidTr="00BB7317">
        <w:tc>
          <w:tcPr>
            <w:tcW w:w="1104" w:type="pct"/>
          </w:tcPr>
          <w:p w14:paraId="10903578"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2017-2018</w:t>
            </w:r>
          </w:p>
        </w:tc>
        <w:tc>
          <w:tcPr>
            <w:tcW w:w="1155" w:type="pct"/>
            <w:vAlign w:val="center"/>
          </w:tcPr>
          <w:p w14:paraId="075FE8E1"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10</w:t>
            </w:r>
          </w:p>
        </w:tc>
        <w:tc>
          <w:tcPr>
            <w:tcW w:w="1396" w:type="pct"/>
            <w:vAlign w:val="center"/>
          </w:tcPr>
          <w:p w14:paraId="0575C0A1"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20%</w:t>
            </w:r>
          </w:p>
        </w:tc>
        <w:tc>
          <w:tcPr>
            <w:tcW w:w="1345" w:type="pct"/>
            <w:vAlign w:val="center"/>
          </w:tcPr>
          <w:p w14:paraId="116B9F82"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80%</w:t>
            </w:r>
          </w:p>
        </w:tc>
      </w:tr>
      <w:tr w:rsidR="00BB7317" w:rsidRPr="00B774F4" w14:paraId="61E896EF" w14:textId="77777777" w:rsidTr="00BB7317">
        <w:tc>
          <w:tcPr>
            <w:tcW w:w="1104" w:type="pct"/>
          </w:tcPr>
          <w:p w14:paraId="7E2DC7F7"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2016-2017</w:t>
            </w:r>
          </w:p>
        </w:tc>
        <w:tc>
          <w:tcPr>
            <w:tcW w:w="1155" w:type="pct"/>
            <w:vAlign w:val="center"/>
          </w:tcPr>
          <w:p w14:paraId="3D5D56A7"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10</w:t>
            </w:r>
          </w:p>
        </w:tc>
        <w:tc>
          <w:tcPr>
            <w:tcW w:w="1396" w:type="pct"/>
            <w:vAlign w:val="center"/>
          </w:tcPr>
          <w:p w14:paraId="40D20B53"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30%</w:t>
            </w:r>
          </w:p>
        </w:tc>
        <w:tc>
          <w:tcPr>
            <w:tcW w:w="1345" w:type="pct"/>
            <w:vAlign w:val="center"/>
          </w:tcPr>
          <w:p w14:paraId="55095401" w14:textId="77777777" w:rsidR="00BB7317" w:rsidRPr="00B774F4" w:rsidRDefault="00BB7317" w:rsidP="00BB7317">
            <w:pPr>
              <w:spacing w:after="240"/>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70%</w:t>
            </w:r>
          </w:p>
        </w:tc>
      </w:tr>
    </w:tbl>
    <w:p w14:paraId="32F3303B" w14:textId="77777777" w:rsidR="00BB7317" w:rsidRPr="00B774F4" w:rsidRDefault="00BB7317" w:rsidP="00BB7317">
      <w:pPr>
        <w:pStyle w:val="ListParagraph"/>
        <w:rPr>
          <w:rFonts w:asciiTheme="majorHAnsi" w:hAnsiTheme="majorHAnsi" w:cstheme="majorHAnsi"/>
          <w:b/>
        </w:rPr>
      </w:pPr>
    </w:p>
    <w:p w14:paraId="368E265E" w14:textId="7D6274EB" w:rsidR="00BB7317" w:rsidRPr="00B774F4" w:rsidRDefault="00BB7317" w:rsidP="00F077DD">
      <w:pPr>
        <w:spacing w:before="60" w:after="60" w:line="240" w:lineRule="auto"/>
        <w:rPr>
          <w:rFonts w:asciiTheme="majorHAnsi" w:hAnsiTheme="majorHAnsi" w:cstheme="majorHAnsi"/>
          <w:sz w:val="20"/>
        </w:rPr>
      </w:pPr>
      <w:r w:rsidRPr="00B774F4">
        <w:rPr>
          <w:rFonts w:asciiTheme="majorHAnsi" w:hAnsiTheme="majorHAnsi" w:cstheme="majorHAnsi"/>
          <w:b/>
          <w:sz w:val="20"/>
        </w:rPr>
        <w:t>Outcome Measure #2:  The Program Completion Rate</w:t>
      </w:r>
    </w:p>
    <w:p w14:paraId="05E9DFC2" w14:textId="40D1553A" w:rsidR="00BB7317" w:rsidRPr="00B774F4" w:rsidRDefault="00BB7317" w:rsidP="00BB7317">
      <w:pPr>
        <w:spacing w:after="240"/>
        <w:rPr>
          <w:rFonts w:asciiTheme="majorHAnsi" w:hAnsiTheme="majorHAnsi" w:cstheme="majorHAnsi"/>
          <w:color w:val="000000" w:themeColor="text1"/>
        </w:rPr>
      </w:pPr>
      <w:r w:rsidRPr="00B774F4">
        <w:rPr>
          <w:rFonts w:asciiTheme="majorHAnsi" w:hAnsiTheme="majorHAnsi" w:cstheme="majorHAnsi"/>
          <w:b/>
          <w:color w:val="000000" w:themeColor="text1"/>
        </w:rPr>
        <w:t>Program Name</w:t>
      </w:r>
      <w:r w:rsidRPr="00B774F4">
        <w:rPr>
          <w:rFonts w:asciiTheme="majorHAnsi" w:hAnsiTheme="majorHAnsi" w:cstheme="majorHAnsi"/>
          <w:color w:val="000000" w:themeColor="text1"/>
        </w:rPr>
        <w:t>: AAS – Child Development – Preschool Education</w:t>
      </w:r>
    </w:p>
    <w:tbl>
      <w:tblPr>
        <w:tblStyle w:val="TableGrid1"/>
        <w:tblW w:w="5000" w:type="pct"/>
        <w:tblLook w:val="04A0" w:firstRow="1" w:lastRow="0" w:firstColumn="1" w:lastColumn="0" w:noHBand="0" w:noVBand="1"/>
      </w:tblPr>
      <w:tblGrid>
        <w:gridCol w:w="2515"/>
        <w:gridCol w:w="3570"/>
        <w:gridCol w:w="3265"/>
      </w:tblGrid>
      <w:tr w:rsidR="00BB7317" w:rsidRPr="00B774F4" w14:paraId="790D30A8" w14:textId="77777777" w:rsidTr="007B08D0">
        <w:tc>
          <w:tcPr>
            <w:tcW w:w="1345" w:type="pct"/>
          </w:tcPr>
          <w:p w14:paraId="7839D7EF" w14:textId="77777777" w:rsidR="00BB7317" w:rsidRPr="00B774F4" w:rsidRDefault="00BB7317"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xml:space="preserve">Academic year in which a Fall cohort of </w:t>
            </w:r>
            <w:r w:rsidRPr="00B774F4">
              <w:rPr>
                <w:rFonts w:asciiTheme="majorHAnsi" w:hAnsiTheme="majorHAnsi" w:cstheme="majorHAnsi"/>
                <w:b/>
                <w:color w:val="000000" w:themeColor="text1"/>
                <w:sz w:val="22"/>
                <w:szCs w:val="22"/>
              </w:rPr>
              <w:t>full-</w:t>
            </w:r>
            <w:bookmarkStart w:id="0" w:name="_GoBack"/>
            <w:bookmarkEnd w:id="0"/>
            <w:r w:rsidRPr="00B774F4">
              <w:rPr>
                <w:rFonts w:asciiTheme="majorHAnsi" w:hAnsiTheme="majorHAnsi" w:cstheme="majorHAnsi"/>
                <w:b/>
                <w:color w:val="000000" w:themeColor="text1"/>
                <w:sz w:val="22"/>
                <w:szCs w:val="22"/>
              </w:rPr>
              <w:t>time</w:t>
            </w:r>
            <w:r w:rsidRPr="00B774F4">
              <w:rPr>
                <w:rFonts w:asciiTheme="majorHAnsi" w:hAnsiTheme="majorHAnsi" w:cstheme="majorHAnsi"/>
                <w:color w:val="000000" w:themeColor="text1"/>
                <w:sz w:val="22"/>
                <w:szCs w:val="22"/>
              </w:rPr>
              <w:t xml:space="preserve"> students enrolled at the institution (select three sequential years)</w:t>
            </w:r>
          </w:p>
        </w:tc>
        <w:tc>
          <w:tcPr>
            <w:tcW w:w="1909" w:type="pct"/>
          </w:tcPr>
          <w:p w14:paraId="5E1DF072" w14:textId="77777777" w:rsidR="00BB7317" w:rsidRPr="00B774F4" w:rsidRDefault="00B774F4"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xml:space="preserve">Percentage of those students who completed the program within </w:t>
            </w:r>
            <w:r w:rsidRPr="009F5A90">
              <w:rPr>
                <w:rFonts w:asciiTheme="majorHAnsi" w:hAnsiTheme="majorHAnsi" w:cstheme="majorHAnsi"/>
                <w:color w:val="000000" w:themeColor="text1"/>
                <w:sz w:val="22"/>
                <w:szCs w:val="22"/>
              </w:rPr>
              <w:t>100%,</w:t>
            </w:r>
            <w:r w:rsidRPr="00B774F4">
              <w:rPr>
                <w:rFonts w:asciiTheme="majorHAnsi" w:hAnsiTheme="majorHAnsi" w:cstheme="majorHAnsi"/>
                <w:color w:val="000000" w:themeColor="text1"/>
                <w:sz w:val="22"/>
                <w:szCs w:val="22"/>
              </w:rPr>
              <w:t xml:space="preserve"> </w:t>
            </w:r>
            <w:r w:rsidRPr="009F5A90">
              <w:rPr>
                <w:rFonts w:asciiTheme="majorHAnsi" w:hAnsiTheme="majorHAnsi" w:cstheme="majorHAnsi"/>
                <w:color w:val="000000" w:themeColor="text1"/>
                <w:sz w:val="22"/>
                <w:szCs w:val="22"/>
                <w:highlight w:val="yellow"/>
                <w:u w:val="single"/>
              </w:rPr>
              <w:t>200%</w:t>
            </w:r>
            <w:r w:rsidRPr="00B774F4">
              <w:rPr>
                <w:rFonts w:asciiTheme="majorHAnsi" w:hAnsiTheme="majorHAnsi" w:cstheme="majorHAnsi"/>
                <w:color w:val="000000" w:themeColor="text1"/>
                <w:sz w:val="22"/>
                <w:szCs w:val="22"/>
              </w:rPr>
              <w:t xml:space="preserve"> (twice) </w:t>
            </w:r>
            <w:r w:rsidRPr="00B774F4">
              <w:rPr>
                <w:rFonts w:asciiTheme="majorHAnsi" w:hAnsiTheme="majorHAnsi" w:cstheme="majorHAnsi"/>
                <w:i/>
                <w:color w:val="000000" w:themeColor="text1"/>
                <w:sz w:val="22"/>
                <w:szCs w:val="22"/>
              </w:rPr>
              <w:t>or</w:t>
            </w:r>
            <w:r w:rsidRPr="00B774F4">
              <w:rPr>
                <w:rFonts w:asciiTheme="majorHAnsi" w:hAnsiTheme="majorHAnsi" w:cstheme="majorHAnsi"/>
                <w:color w:val="000000" w:themeColor="text1"/>
                <w:sz w:val="22"/>
                <w:szCs w:val="22"/>
              </w:rPr>
              <w:t xml:space="preserve"> 300% (three times) of the published timeframe </w:t>
            </w:r>
            <w:r w:rsidRPr="00B774F4">
              <w:rPr>
                <w:rFonts w:asciiTheme="majorHAnsi" w:hAnsiTheme="majorHAnsi" w:cstheme="majorHAnsi"/>
                <w:b/>
                <w:color w:val="000000" w:themeColor="text1"/>
                <w:sz w:val="22"/>
                <w:szCs w:val="22"/>
              </w:rPr>
              <w:t>(Please circle or underline the indicator above on which the program will report.)</w:t>
            </w:r>
          </w:p>
        </w:tc>
        <w:tc>
          <w:tcPr>
            <w:tcW w:w="1746" w:type="pct"/>
          </w:tcPr>
          <w:p w14:paraId="3D9E32BC" w14:textId="77777777" w:rsidR="00BB7317" w:rsidRPr="00B774F4" w:rsidRDefault="00B774F4" w:rsidP="007B08D0">
            <w:pPr>
              <w:spacing w:after="240"/>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Percentage of those students who completed the program within 150% of the published timeframe</w:t>
            </w:r>
          </w:p>
        </w:tc>
      </w:tr>
      <w:tr w:rsidR="00916C38" w:rsidRPr="00B774F4" w14:paraId="3D02FDBF" w14:textId="77777777" w:rsidTr="00BB7317">
        <w:tc>
          <w:tcPr>
            <w:tcW w:w="1345" w:type="pct"/>
          </w:tcPr>
          <w:p w14:paraId="0A109F7C" w14:textId="441025EE" w:rsidR="00916C38" w:rsidRPr="00B774F4" w:rsidRDefault="00916C38" w:rsidP="00916C38">
            <w:pPr>
              <w:spacing w:after="24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Fall 2018 Cohort</w:t>
            </w:r>
          </w:p>
        </w:tc>
        <w:tc>
          <w:tcPr>
            <w:tcW w:w="1909" w:type="pct"/>
            <w:vAlign w:val="center"/>
          </w:tcPr>
          <w:p w14:paraId="3AC314AA" w14:textId="23FE374A"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N/A</w:t>
            </w:r>
          </w:p>
        </w:tc>
        <w:tc>
          <w:tcPr>
            <w:tcW w:w="1746" w:type="pct"/>
            <w:vAlign w:val="center"/>
          </w:tcPr>
          <w:p w14:paraId="68FC9592" w14:textId="759BA455"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N/A</w:t>
            </w:r>
          </w:p>
        </w:tc>
      </w:tr>
      <w:tr w:rsidR="00916C38" w:rsidRPr="00B774F4" w14:paraId="4EBD9B2D" w14:textId="77777777" w:rsidTr="00BB7317">
        <w:tc>
          <w:tcPr>
            <w:tcW w:w="1345" w:type="pct"/>
          </w:tcPr>
          <w:p w14:paraId="36CD5DF5" w14:textId="5E1EC2A3" w:rsidR="00916C38" w:rsidRPr="00B774F4" w:rsidRDefault="00916C38" w:rsidP="00916C38">
            <w:pPr>
              <w:spacing w:after="24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Fall 2017 Cohort</w:t>
            </w:r>
          </w:p>
        </w:tc>
        <w:tc>
          <w:tcPr>
            <w:tcW w:w="1909" w:type="pct"/>
            <w:vAlign w:val="center"/>
          </w:tcPr>
          <w:p w14:paraId="7F9A441C" w14:textId="5B4A3353"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N/A</w:t>
            </w:r>
          </w:p>
        </w:tc>
        <w:tc>
          <w:tcPr>
            <w:tcW w:w="1746" w:type="pct"/>
            <w:vAlign w:val="center"/>
          </w:tcPr>
          <w:p w14:paraId="5C33EAA5" w14:textId="363870E9"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50</w:t>
            </w:r>
            <w:r w:rsidRPr="00B774F4">
              <w:rPr>
                <w:rFonts w:asciiTheme="majorHAnsi" w:hAnsiTheme="majorHAnsi" w:cstheme="majorHAnsi"/>
                <w:color w:val="000000" w:themeColor="text1"/>
                <w:sz w:val="22"/>
                <w:szCs w:val="22"/>
              </w:rPr>
              <w:t>%</w:t>
            </w:r>
          </w:p>
        </w:tc>
      </w:tr>
      <w:tr w:rsidR="00916C38" w:rsidRPr="00B774F4" w14:paraId="6A9BA18B" w14:textId="77777777" w:rsidTr="00BB7317">
        <w:tc>
          <w:tcPr>
            <w:tcW w:w="1345" w:type="pct"/>
          </w:tcPr>
          <w:p w14:paraId="5AF6E204" w14:textId="604F422E" w:rsidR="00916C38" w:rsidRPr="00B774F4" w:rsidRDefault="00916C38" w:rsidP="00916C38">
            <w:pPr>
              <w:spacing w:after="24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Fall 2016 Cohort</w:t>
            </w:r>
          </w:p>
        </w:tc>
        <w:tc>
          <w:tcPr>
            <w:tcW w:w="1909" w:type="pct"/>
            <w:vAlign w:val="center"/>
          </w:tcPr>
          <w:p w14:paraId="4C499708" w14:textId="2018B28D"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40%</w:t>
            </w:r>
          </w:p>
        </w:tc>
        <w:tc>
          <w:tcPr>
            <w:tcW w:w="1746" w:type="pct"/>
            <w:vAlign w:val="center"/>
          </w:tcPr>
          <w:p w14:paraId="3E33F71B" w14:textId="498F8CAD" w:rsidR="00916C38" w:rsidRPr="00B774F4" w:rsidRDefault="00916C38" w:rsidP="00916C38">
            <w:pPr>
              <w:spacing w:after="240"/>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40%</w:t>
            </w:r>
          </w:p>
        </w:tc>
      </w:tr>
    </w:tbl>
    <w:p w14:paraId="0D364E5E" w14:textId="533D5714" w:rsidR="00F077DD" w:rsidRDefault="00F077DD" w:rsidP="00F077DD">
      <w:pPr>
        <w:spacing w:before="60" w:after="60" w:line="240" w:lineRule="auto"/>
        <w:rPr>
          <w:rFonts w:asciiTheme="majorHAnsi" w:hAnsiTheme="majorHAnsi" w:cstheme="majorHAnsi"/>
          <w:b/>
          <w:color w:val="000000" w:themeColor="text1"/>
        </w:rPr>
      </w:pPr>
    </w:p>
    <w:p w14:paraId="13A4877A" w14:textId="14F52590" w:rsidR="00B774F4" w:rsidRPr="00F077DD" w:rsidRDefault="00B774F4" w:rsidP="00F077DD">
      <w:pPr>
        <w:spacing w:before="60" w:after="60" w:line="240" w:lineRule="auto"/>
        <w:rPr>
          <w:rFonts w:asciiTheme="majorHAnsi" w:hAnsiTheme="majorHAnsi" w:cstheme="majorHAnsi"/>
          <w:b/>
          <w:color w:val="000000" w:themeColor="text1"/>
        </w:rPr>
      </w:pPr>
      <w:r w:rsidRPr="00B774F4">
        <w:rPr>
          <w:rFonts w:asciiTheme="majorHAnsi" w:hAnsiTheme="majorHAnsi" w:cstheme="majorHAnsi"/>
          <w:b/>
          <w:color w:val="000000" w:themeColor="text1"/>
        </w:rPr>
        <w:t>Outcome Measure #3:  Institutional Selected Data</w:t>
      </w:r>
    </w:p>
    <w:tbl>
      <w:tblPr>
        <w:tblStyle w:val="TableGrid1"/>
        <w:tblW w:w="5000" w:type="pct"/>
        <w:tblLook w:val="04A0" w:firstRow="1" w:lastRow="0" w:firstColumn="1" w:lastColumn="0" w:noHBand="0" w:noVBand="1"/>
      </w:tblPr>
      <w:tblGrid>
        <w:gridCol w:w="1872"/>
        <w:gridCol w:w="1872"/>
        <w:gridCol w:w="1870"/>
        <w:gridCol w:w="1870"/>
        <w:gridCol w:w="1866"/>
      </w:tblGrid>
      <w:tr w:rsidR="00B774F4" w:rsidRPr="00B774F4" w14:paraId="4E717909" w14:textId="77777777" w:rsidTr="00F077DD">
        <w:tc>
          <w:tcPr>
            <w:tcW w:w="1001" w:type="pct"/>
          </w:tcPr>
          <w:p w14:paraId="29EDFC4F"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Academic Year</w:t>
            </w:r>
          </w:p>
        </w:tc>
        <w:tc>
          <w:tcPr>
            <w:tcW w:w="1001" w:type="pct"/>
          </w:tcPr>
          <w:p w14:paraId="29F523E3"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of Part-Time Candidates Enrolled (% of Total Enrollment)</w:t>
            </w:r>
          </w:p>
        </w:tc>
        <w:tc>
          <w:tcPr>
            <w:tcW w:w="1000" w:type="pct"/>
          </w:tcPr>
          <w:p w14:paraId="3C6E965A"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Retention Rate among Part-Time Candidates</w:t>
            </w:r>
          </w:p>
        </w:tc>
        <w:tc>
          <w:tcPr>
            <w:tcW w:w="1000" w:type="pct"/>
          </w:tcPr>
          <w:p w14:paraId="798AE132"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 of Full-Time Candidates Enrolled (% of Total Enrollment)</w:t>
            </w:r>
          </w:p>
        </w:tc>
        <w:tc>
          <w:tcPr>
            <w:tcW w:w="999" w:type="pct"/>
          </w:tcPr>
          <w:p w14:paraId="5FEE2795"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Retention Rate among Full-Time Candidates</w:t>
            </w:r>
          </w:p>
        </w:tc>
      </w:tr>
      <w:tr w:rsidR="00B774F4" w:rsidRPr="00B774F4" w14:paraId="1003CAC7" w14:textId="77777777" w:rsidTr="00F077DD">
        <w:tc>
          <w:tcPr>
            <w:tcW w:w="1001" w:type="pct"/>
          </w:tcPr>
          <w:p w14:paraId="723D3C69"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Fall 2018</w:t>
            </w:r>
          </w:p>
        </w:tc>
        <w:tc>
          <w:tcPr>
            <w:tcW w:w="1001" w:type="pct"/>
            <w:vAlign w:val="center"/>
          </w:tcPr>
          <w:p w14:paraId="324388CC"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83%</w:t>
            </w:r>
          </w:p>
        </w:tc>
        <w:tc>
          <w:tcPr>
            <w:tcW w:w="1000" w:type="pct"/>
            <w:vAlign w:val="center"/>
          </w:tcPr>
          <w:p w14:paraId="63E3CF4D"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30%</w:t>
            </w:r>
          </w:p>
        </w:tc>
        <w:tc>
          <w:tcPr>
            <w:tcW w:w="1000" w:type="pct"/>
            <w:vAlign w:val="center"/>
          </w:tcPr>
          <w:p w14:paraId="3594AAF8"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17%</w:t>
            </w:r>
          </w:p>
        </w:tc>
        <w:tc>
          <w:tcPr>
            <w:tcW w:w="999" w:type="pct"/>
            <w:vAlign w:val="center"/>
          </w:tcPr>
          <w:p w14:paraId="236FB873"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0%</w:t>
            </w:r>
          </w:p>
        </w:tc>
      </w:tr>
      <w:tr w:rsidR="00B774F4" w:rsidRPr="00B774F4" w14:paraId="37B05498" w14:textId="77777777" w:rsidTr="00F077DD">
        <w:tc>
          <w:tcPr>
            <w:tcW w:w="1001" w:type="pct"/>
          </w:tcPr>
          <w:p w14:paraId="7C86F434"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Fall 2017</w:t>
            </w:r>
          </w:p>
        </w:tc>
        <w:tc>
          <w:tcPr>
            <w:tcW w:w="1001" w:type="pct"/>
            <w:vAlign w:val="center"/>
          </w:tcPr>
          <w:p w14:paraId="60536CC5"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85%</w:t>
            </w:r>
          </w:p>
        </w:tc>
        <w:tc>
          <w:tcPr>
            <w:tcW w:w="1000" w:type="pct"/>
            <w:vAlign w:val="center"/>
          </w:tcPr>
          <w:p w14:paraId="7B80A165"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w:t>
            </w:r>
          </w:p>
        </w:tc>
        <w:tc>
          <w:tcPr>
            <w:tcW w:w="1000" w:type="pct"/>
            <w:vAlign w:val="center"/>
          </w:tcPr>
          <w:p w14:paraId="10BCAC1C"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15%</w:t>
            </w:r>
          </w:p>
        </w:tc>
        <w:tc>
          <w:tcPr>
            <w:tcW w:w="999" w:type="pct"/>
            <w:vAlign w:val="center"/>
          </w:tcPr>
          <w:p w14:paraId="312370EF"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50%</w:t>
            </w:r>
          </w:p>
        </w:tc>
      </w:tr>
      <w:tr w:rsidR="00B774F4" w:rsidRPr="00B774F4" w14:paraId="44E832C5" w14:textId="77777777" w:rsidTr="00F077DD">
        <w:tc>
          <w:tcPr>
            <w:tcW w:w="1001" w:type="pct"/>
          </w:tcPr>
          <w:p w14:paraId="02AA27E9" w14:textId="77777777" w:rsidR="00B774F4" w:rsidRPr="00B774F4" w:rsidRDefault="00B774F4" w:rsidP="007B08D0">
            <w:pPr>
              <w:spacing w:after="200" w:line="276" w:lineRule="atLeast"/>
              <w:contextualSpacing/>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Fall 2016</w:t>
            </w:r>
          </w:p>
        </w:tc>
        <w:tc>
          <w:tcPr>
            <w:tcW w:w="1001" w:type="pct"/>
            <w:vAlign w:val="center"/>
          </w:tcPr>
          <w:p w14:paraId="54C9BD35"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58%</w:t>
            </w:r>
          </w:p>
        </w:tc>
        <w:tc>
          <w:tcPr>
            <w:tcW w:w="1000" w:type="pct"/>
            <w:vAlign w:val="center"/>
          </w:tcPr>
          <w:p w14:paraId="5A6C707F" w14:textId="77566BE9" w:rsidR="00B774F4" w:rsidRPr="00B774F4" w:rsidRDefault="00286649" w:rsidP="00B774F4">
            <w:pPr>
              <w:spacing w:after="200" w:line="276" w:lineRule="atLeast"/>
              <w:contextualSpacing/>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21</w:t>
            </w:r>
            <w:r w:rsidR="00B774F4" w:rsidRPr="00B774F4">
              <w:rPr>
                <w:rFonts w:asciiTheme="majorHAnsi" w:hAnsiTheme="majorHAnsi" w:cstheme="majorHAnsi"/>
                <w:color w:val="000000" w:themeColor="text1"/>
                <w:sz w:val="22"/>
                <w:szCs w:val="22"/>
              </w:rPr>
              <w:t>%</w:t>
            </w:r>
          </w:p>
        </w:tc>
        <w:tc>
          <w:tcPr>
            <w:tcW w:w="1000" w:type="pct"/>
            <w:vAlign w:val="center"/>
          </w:tcPr>
          <w:p w14:paraId="0D24AB9B"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42%</w:t>
            </w:r>
          </w:p>
        </w:tc>
        <w:tc>
          <w:tcPr>
            <w:tcW w:w="999" w:type="pct"/>
            <w:vAlign w:val="center"/>
          </w:tcPr>
          <w:p w14:paraId="52D80943" w14:textId="77777777" w:rsidR="00B774F4" w:rsidRPr="00B774F4" w:rsidRDefault="00B774F4" w:rsidP="00B774F4">
            <w:pPr>
              <w:spacing w:after="200" w:line="276" w:lineRule="atLeast"/>
              <w:contextualSpacing/>
              <w:jc w:val="center"/>
              <w:rPr>
                <w:rFonts w:asciiTheme="majorHAnsi" w:hAnsiTheme="majorHAnsi" w:cstheme="majorHAnsi"/>
                <w:color w:val="000000" w:themeColor="text1"/>
                <w:sz w:val="22"/>
                <w:szCs w:val="22"/>
              </w:rPr>
            </w:pPr>
            <w:r w:rsidRPr="00B774F4">
              <w:rPr>
                <w:rFonts w:asciiTheme="majorHAnsi" w:hAnsiTheme="majorHAnsi" w:cstheme="majorHAnsi"/>
                <w:color w:val="000000" w:themeColor="text1"/>
                <w:sz w:val="22"/>
                <w:szCs w:val="22"/>
              </w:rPr>
              <w:t>20%</w:t>
            </w:r>
          </w:p>
        </w:tc>
      </w:tr>
    </w:tbl>
    <w:p w14:paraId="289826C6"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u w:val="single"/>
        </w:rPr>
        <w:t>Glossary of Terms</w:t>
      </w:r>
      <w:r w:rsidRPr="00F077DD">
        <w:rPr>
          <w:rFonts w:cs="Arial"/>
          <w:color w:val="000000" w:themeColor="text1"/>
        </w:rPr>
        <w:t>                   </w:t>
      </w:r>
    </w:p>
    <w:p w14:paraId="701433FF"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521BB512"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Note on Methodology: </w:t>
      </w:r>
      <w:r w:rsidRPr="00F077DD">
        <w:rPr>
          <w:rFonts w:cs="Arial"/>
          <w:color w:val="000000" w:themeColor="text1"/>
        </w:rPr>
        <w:t>The National Association for the Education of Young Children (NAEYC) methodology was used for establishing the above programmatic outcomes data.                    </w:t>
      </w:r>
    </w:p>
    <w:p w14:paraId="0BFE6210"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3904B038"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Enrollment:</w:t>
      </w:r>
      <w:r w:rsidRPr="00F077DD">
        <w:rPr>
          <w:rFonts w:cs="Arial"/>
          <w:color w:val="000000" w:themeColor="text1"/>
        </w:rPr>
        <w:t> The number of students that enrolled in the program for the first time in the academic year.   </w:t>
      </w:r>
    </w:p>
    <w:p w14:paraId="1FD1FE76" w14:textId="127818A6"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561BB3BB"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Enrollment Cohort:</w:t>
      </w:r>
      <w:r w:rsidRPr="00F077DD">
        <w:rPr>
          <w:rFonts w:cs="Arial"/>
          <w:color w:val="000000" w:themeColor="text1"/>
        </w:rPr>
        <w:t>               </w:t>
      </w:r>
    </w:p>
    <w:p w14:paraId="7FCAF5FB"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Students that enrolled in the program for the first time in the specified academic year are designated as an enrollment cohort for that year. There is one enrollment cohort for this program per fiscal year.                  </w:t>
      </w:r>
    </w:p>
    <w:p w14:paraId="284B915A"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7613E436"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Full-Time Status: </w:t>
      </w:r>
      <w:r w:rsidRPr="00F077DD">
        <w:rPr>
          <w:rFonts w:cs="Arial"/>
          <w:color w:val="000000" w:themeColor="text1"/>
        </w:rPr>
        <w:t>Designation used for students enrolled in 12 hours or more in fall or spring, or six or more semester hours in summer.                </w:t>
      </w:r>
    </w:p>
    <w:p w14:paraId="7426E67F"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13659225"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Part-Time Status:</w:t>
      </w:r>
      <w:r w:rsidRPr="00F077DD">
        <w:rPr>
          <w:rFonts w:cs="Arial"/>
          <w:color w:val="000000" w:themeColor="text1"/>
        </w:rPr>
        <w:t>                </w:t>
      </w:r>
    </w:p>
    <w:p w14:paraId="3AA46098"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Students enrolled in less than 12 semester hours in fall or spring, or less than six semester hours in summer.        </w:t>
      </w:r>
    </w:p>
    <w:p w14:paraId="4F1A882D"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47E701D6"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Retention: </w:t>
      </w:r>
      <w:r w:rsidRPr="00F077DD">
        <w:rPr>
          <w:rFonts w:cs="Arial"/>
          <w:color w:val="000000" w:themeColor="text1"/>
        </w:rPr>
        <w:t>The percent of the total students in the enrollment cohortsᵻ that were retained to the next academic year of the program.                </w:t>
      </w:r>
    </w:p>
    <w:p w14:paraId="043E4045"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63343C27"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Completion at 150% timeframe: </w:t>
      </w:r>
      <w:r w:rsidRPr="00F077DD">
        <w:rPr>
          <w:rFonts w:cs="Arial"/>
          <w:color w:val="000000" w:themeColor="text1"/>
        </w:rPr>
        <w:t>                 </w:t>
      </w:r>
    </w:p>
    <w:p w14:paraId="65F4A0FF"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The percent of the total students in the enrollment cohortsᵻ that completed the degree within the 150% timeframe (6 semesters not including summer) of the program.                  </w:t>
      </w:r>
    </w:p>
    <w:p w14:paraId="74D14800" w14:textId="77777777"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            </w:t>
      </w:r>
    </w:p>
    <w:p w14:paraId="1BC42163" w14:textId="77777777" w:rsidR="00F077DD" w:rsidRPr="00F077DD" w:rsidRDefault="00F077DD" w:rsidP="00F077DD">
      <w:pPr>
        <w:spacing w:after="200" w:line="276" w:lineRule="atLeast"/>
        <w:contextualSpacing/>
        <w:rPr>
          <w:rFonts w:cs="Arial"/>
          <w:color w:val="000000" w:themeColor="text1"/>
        </w:rPr>
      </w:pPr>
      <w:r w:rsidRPr="00F077DD">
        <w:rPr>
          <w:rFonts w:cs="Arial"/>
          <w:b/>
          <w:bCs/>
          <w:color w:val="000000" w:themeColor="text1"/>
        </w:rPr>
        <w:t>Completion at 200% timeframe: </w:t>
      </w:r>
      <w:r w:rsidRPr="00F077DD">
        <w:rPr>
          <w:rFonts w:cs="Arial"/>
          <w:color w:val="000000" w:themeColor="text1"/>
        </w:rPr>
        <w:t>                 </w:t>
      </w:r>
    </w:p>
    <w:p w14:paraId="4E419055" w14:textId="344185C6" w:rsidR="00F077DD" w:rsidRPr="00F077DD" w:rsidRDefault="00F077DD" w:rsidP="00F077DD">
      <w:pPr>
        <w:spacing w:after="200" w:line="276" w:lineRule="atLeast"/>
        <w:contextualSpacing/>
        <w:rPr>
          <w:rFonts w:cs="Arial"/>
          <w:color w:val="000000" w:themeColor="text1"/>
        </w:rPr>
      </w:pPr>
      <w:r w:rsidRPr="00F077DD">
        <w:rPr>
          <w:rFonts w:cs="Arial"/>
          <w:color w:val="000000" w:themeColor="text1"/>
        </w:rPr>
        <w:t>The percent of the total students in the enrollment cohortsᵻ that completed the degree within the 200% timeframe (8 semesters not including summer) of the program. </w:t>
      </w:r>
    </w:p>
    <w:p w14:paraId="1AF08AD5" w14:textId="77777777" w:rsidR="00B774F4" w:rsidRPr="00C85A02" w:rsidRDefault="00B774F4" w:rsidP="00B774F4">
      <w:pPr>
        <w:spacing w:after="200" w:line="276" w:lineRule="atLeast"/>
        <w:contextualSpacing/>
        <w:rPr>
          <w:rFonts w:cs="Arial"/>
          <w:color w:val="000000" w:themeColor="text1"/>
        </w:rPr>
      </w:pPr>
    </w:p>
    <w:p w14:paraId="190ACA00" w14:textId="77777777" w:rsidR="00B774F4" w:rsidRDefault="00B774F4" w:rsidP="00BB7317">
      <w:pPr>
        <w:pStyle w:val="ListParagraph"/>
        <w:rPr>
          <w:b/>
        </w:rPr>
      </w:pPr>
    </w:p>
    <w:p w14:paraId="4DF41374" w14:textId="77777777" w:rsidR="00B774F4" w:rsidRDefault="00B774F4">
      <w:pPr>
        <w:rPr>
          <w:b/>
        </w:rPr>
      </w:pPr>
      <w:r>
        <w:rPr>
          <w:b/>
        </w:rPr>
        <w:br w:type="page"/>
      </w:r>
    </w:p>
    <w:p w14:paraId="53BA6521" w14:textId="77777777" w:rsidR="002209A6" w:rsidRPr="00FA53A4" w:rsidRDefault="002209A6" w:rsidP="00BB7317">
      <w:pPr>
        <w:pStyle w:val="ListParagraph"/>
        <w:rPr>
          <w:rFonts w:asciiTheme="majorHAnsi" w:hAnsiTheme="majorHAnsi" w:cstheme="majorHAnsi"/>
          <w:b/>
        </w:rPr>
      </w:pPr>
    </w:p>
    <w:sectPr w:rsidR="002209A6" w:rsidRPr="00FA53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9DF97" w14:textId="77777777" w:rsidR="00E50509" w:rsidRDefault="00E50509" w:rsidP="00BB7317">
      <w:pPr>
        <w:spacing w:after="0" w:line="240" w:lineRule="auto"/>
      </w:pPr>
      <w:r>
        <w:separator/>
      </w:r>
    </w:p>
  </w:endnote>
  <w:endnote w:type="continuationSeparator" w:id="0">
    <w:p w14:paraId="31B00880" w14:textId="77777777" w:rsidR="00E50509" w:rsidRDefault="00E50509" w:rsidP="00BB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E038C" w14:textId="77777777" w:rsidR="00E50509" w:rsidRDefault="00E50509" w:rsidP="00BB7317">
      <w:pPr>
        <w:spacing w:after="0" w:line="240" w:lineRule="auto"/>
      </w:pPr>
      <w:r>
        <w:separator/>
      </w:r>
    </w:p>
  </w:footnote>
  <w:footnote w:type="continuationSeparator" w:id="0">
    <w:p w14:paraId="7C1179EC" w14:textId="77777777" w:rsidR="00E50509" w:rsidRDefault="00E50509" w:rsidP="00BB7317">
      <w:pPr>
        <w:spacing w:after="0" w:line="240" w:lineRule="auto"/>
      </w:pPr>
      <w:r>
        <w:continuationSeparator/>
      </w:r>
    </w:p>
  </w:footnote>
  <w:footnote w:id="1">
    <w:p w14:paraId="78BF4C8F" w14:textId="77777777" w:rsidR="00BB7317" w:rsidRPr="0025329C" w:rsidRDefault="00BB7317" w:rsidP="00BB7317">
      <w:pPr>
        <w:pStyle w:val="FootnoteText"/>
        <w:rPr>
          <w:rFonts w:asciiTheme="minorHAnsi" w:hAnsiTheme="minorHAnsi"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030F"/>
    <w:multiLevelType w:val="hybridMultilevel"/>
    <w:tmpl w:val="2DBA9D78"/>
    <w:lvl w:ilvl="0" w:tplc="32DCAC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E62610"/>
    <w:multiLevelType w:val="hybridMultilevel"/>
    <w:tmpl w:val="0C2C6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00300"/>
    <w:multiLevelType w:val="multilevel"/>
    <w:tmpl w:val="8B688BE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7M0NDY1N7Q0MDZV0lEKTi0uzszPAykwrAUAkyIYgSwAAAA="/>
  </w:docVars>
  <w:rsids>
    <w:rsidRoot w:val="00BB7317"/>
    <w:rsid w:val="000C2200"/>
    <w:rsid w:val="000D4573"/>
    <w:rsid w:val="001E2757"/>
    <w:rsid w:val="002209A6"/>
    <w:rsid w:val="00286649"/>
    <w:rsid w:val="00344AE1"/>
    <w:rsid w:val="00916C38"/>
    <w:rsid w:val="00920160"/>
    <w:rsid w:val="009F5A90"/>
    <w:rsid w:val="00AC3EEF"/>
    <w:rsid w:val="00AF2912"/>
    <w:rsid w:val="00AF347C"/>
    <w:rsid w:val="00B25DC8"/>
    <w:rsid w:val="00B774F4"/>
    <w:rsid w:val="00BB7317"/>
    <w:rsid w:val="00E50509"/>
    <w:rsid w:val="00E720AB"/>
    <w:rsid w:val="00F077DD"/>
    <w:rsid w:val="00FA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CD9A"/>
  <w15:chartTrackingRefBased/>
  <w15:docId w15:val="{444B8C0B-31EA-497F-8BC3-D497F661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317"/>
    <w:pPr>
      <w:ind w:left="720"/>
      <w:contextualSpacing/>
    </w:pPr>
  </w:style>
  <w:style w:type="paragraph" w:styleId="FootnoteText">
    <w:name w:val="footnote text"/>
    <w:basedOn w:val="Normal"/>
    <w:link w:val="FootnoteTextChar"/>
    <w:uiPriority w:val="99"/>
    <w:rsid w:val="00BB731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7317"/>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BB7317"/>
    <w:rPr>
      <w:vertAlign w:val="superscript"/>
    </w:rPr>
  </w:style>
  <w:style w:type="table" w:customStyle="1" w:styleId="TableGrid1">
    <w:name w:val="Table Grid1"/>
    <w:basedOn w:val="TableNormal"/>
    <w:next w:val="TableGrid"/>
    <w:uiPriority w:val="39"/>
    <w:rsid w:val="00BB73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7317"/>
    <w:rPr>
      <w:color w:val="0000FF"/>
      <w:u w:val="single"/>
    </w:rPr>
  </w:style>
  <w:style w:type="paragraph" w:styleId="Header">
    <w:name w:val="header"/>
    <w:basedOn w:val="Normal"/>
    <w:link w:val="HeaderChar"/>
    <w:uiPriority w:val="99"/>
    <w:unhideWhenUsed/>
    <w:rsid w:val="00B7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F4"/>
  </w:style>
  <w:style w:type="paragraph" w:styleId="Footer">
    <w:name w:val="footer"/>
    <w:basedOn w:val="Normal"/>
    <w:link w:val="FooterChar"/>
    <w:uiPriority w:val="99"/>
    <w:unhideWhenUsed/>
    <w:rsid w:val="00B7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779">
      <w:bodyDiv w:val="1"/>
      <w:marLeft w:val="0"/>
      <w:marRight w:val="0"/>
      <w:marTop w:val="0"/>
      <w:marBottom w:val="0"/>
      <w:divBdr>
        <w:top w:val="none" w:sz="0" w:space="0" w:color="auto"/>
        <w:left w:val="none" w:sz="0" w:space="0" w:color="auto"/>
        <w:bottom w:val="none" w:sz="0" w:space="0" w:color="auto"/>
        <w:right w:val="none" w:sz="0" w:space="0" w:color="auto"/>
      </w:divBdr>
      <w:divsChild>
        <w:div w:id="230694738">
          <w:marLeft w:val="0"/>
          <w:marRight w:val="0"/>
          <w:marTop w:val="0"/>
          <w:marBottom w:val="0"/>
          <w:divBdr>
            <w:top w:val="none" w:sz="0" w:space="0" w:color="auto"/>
            <w:left w:val="none" w:sz="0" w:space="0" w:color="auto"/>
            <w:bottom w:val="none" w:sz="0" w:space="0" w:color="auto"/>
            <w:right w:val="none" w:sz="0" w:space="0" w:color="auto"/>
          </w:divBdr>
          <w:divsChild>
            <w:div w:id="922492422">
              <w:marLeft w:val="0"/>
              <w:marRight w:val="0"/>
              <w:marTop w:val="0"/>
              <w:marBottom w:val="0"/>
              <w:divBdr>
                <w:top w:val="none" w:sz="0" w:space="0" w:color="auto"/>
                <w:left w:val="none" w:sz="0" w:space="0" w:color="auto"/>
                <w:bottom w:val="none" w:sz="0" w:space="0" w:color="auto"/>
                <w:right w:val="none" w:sz="0" w:space="0" w:color="auto"/>
              </w:divBdr>
            </w:div>
            <w:div w:id="1530341561">
              <w:marLeft w:val="0"/>
              <w:marRight w:val="0"/>
              <w:marTop w:val="0"/>
              <w:marBottom w:val="0"/>
              <w:divBdr>
                <w:top w:val="none" w:sz="0" w:space="0" w:color="auto"/>
                <w:left w:val="none" w:sz="0" w:space="0" w:color="auto"/>
                <w:bottom w:val="none" w:sz="0" w:space="0" w:color="auto"/>
                <w:right w:val="none" w:sz="0" w:space="0" w:color="auto"/>
              </w:divBdr>
            </w:div>
            <w:div w:id="1460223954">
              <w:marLeft w:val="0"/>
              <w:marRight w:val="0"/>
              <w:marTop w:val="0"/>
              <w:marBottom w:val="0"/>
              <w:divBdr>
                <w:top w:val="none" w:sz="0" w:space="0" w:color="auto"/>
                <w:left w:val="none" w:sz="0" w:space="0" w:color="auto"/>
                <w:bottom w:val="none" w:sz="0" w:space="0" w:color="auto"/>
                <w:right w:val="none" w:sz="0" w:space="0" w:color="auto"/>
              </w:divBdr>
            </w:div>
            <w:div w:id="1880164752">
              <w:marLeft w:val="0"/>
              <w:marRight w:val="0"/>
              <w:marTop w:val="0"/>
              <w:marBottom w:val="0"/>
              <w:divBdr>
                <w:top w:val="none" w:sz="0" w:space="0" w:color="auto"/>
                <w:left w:val="none" w:sz="0" w:space="0" w:color="auto"/>
                <w:bottom w:val="none" w:sz="0" w:space="0" w:color="auto"/>
                <w:right w:val="none" w:sz="0" w:space="0" w:color="auto"/>
              </w:divBdr>
            </w:div>
            <w:div w:id="1821380202">
              <w:marLeft w:val="0"/>
              <w:marRight w:val="0"/>
              <w:marTop w:val="0"/>
              <w:marBottom w:val="0"/>
              <w:divBdr>
                <w:top w:val="none" w:sz="0" w:space="0" w:color="auto"/>
                <w:left w:val="none" w:sz="0" w:space="0" w:color="auto"/>
                <w:bottom w:val="none" w:sz="0" w:space="0" w:color="auto"/>
                <w:right w:val="none" w:sz="0" w:space="0" w:color="auto"/>
              </w:divBdr>
            </w:div>
          </w:divsChild>
        </w:div>
        <w:div w:id="294875722">
          <w:marLeft w:val="0"/>
          <w:marRight w:val="0"/>
          <w:marTop w:val="0"/>
          <w:marBottom w:val="0"/>
          <w:divBdr>
            <w:top w:val="none" w:sz="0" w:space="0" w:color="auto"/>
            <w:left w:val="none" w:sz="0" w:space="0" w:color="auto"/>
            <w:bottom w:val="none" w:sz="0" w:space="0" w:color="auto"/>
            <w:right w:val="none" w:sz="0" w:space="0" w:color="auto"/>
          </w:divBdr>
        </w:div>
        <w:div w:id="1128549619">
          <w:marLeft w:val="0"/>
          <w:marRight w:val="0"/>
          <w:marTop w:val="0"/>
          <w:marBottom w:val="0"/>
          <w:divBdr>
            <w:top w:val="none" w:sz="0" w:space="0" w:color="auto"/>
            <w:left w:val="none" w:sz="0" w:space="0" w:color="auto"/>
            <w:bottom w:val="none" w:sz="0" w:space="0" w:color="auto"/>
            <w:right w:val="none" w:sz="0" w:space="0" w:color="auto"/>
          </w:divBdr>
          <w:divsChild>
            <w:div w:id="770323740">
              <w:marLeft w:val="0"/>
              <w:marRight w:val="0"/>
              <w:marTop w:val="0"/>
              <w:marBottom w:val="0"/>
              <w:divBdr>
                <w:top w:val="none" w:sz="0" w:space="0" w:color="auto"/>
                <w:left w:val="none" w:sz="0" w:space="0" w:color="auto"/>
                <w:bottom w:val="none" w:sz="0" w:space="0" w:color="auto"/>
                <w:right w:val="none" w:sz="0" w:space="0" w:color="auto"/>
              </w:divBdr>
            </w:div>
            <w:div w:id="42289645">
              <w:marLeft w:val="0"/>
              <w:marRight w:val="0"/>
              <w:marTop w:val="0"/>
              <w:marBottom w:val="0"/>
              <w:divBdr>
                <w:top w:val="none" w:sz="0" w:space="0" w:color="auto"/>
                <w:left w:val="none" w:sz="0" w:space="0" w:color="auto"/>
                <w:bottom w:val="none" w:sz="0" w:space="0" w:color="auto"/>
                <w:right w:val="none" w:sz="0" w:space="0" w:color="auto"/>
              </w:divBdr>
            </w:div>
            <w:div w:id="944117574">
              <w:marLeft w:val="0"/>
              <w:marRight w:val="0"/>
              <w:marTop w:val="0"/>
              <w:marBottom w:val="0"/>
              <w:divBdr>
                <w:top w:val="none" w:sz="0" w:space="0" w:color="auto"/>
                <w:left w:val="none" w:sz="0" w:space="0" w:color="auto"/>
                <w:bottom w:val="none" w:sz="0" w:space="0" w:color="auto"/>
                <w:right w:val="none" w:sz="0" w:space="0" w:color="auto"/>
              </w:divBdr>
            </w:div>
            <w:div w:id="1419785562">
              <w:marLeft w:val="0"/>
              <w:marRight w:val="0"/>
              <w:marTop w:val="0"/>
              <w:marBottom w:val="0"/>
              <w:divBdr>
                <w:top w:val="none" w:sz="0" w:space="0" w:color="auto"/>
                <w:left w:val="none" w:sz="0" w:space="0" w:color="auto"/>
                <w:bottom w:val="none" w:sz="0" w:space="0" w:color="auto"/>
                <w:right w:val="none" w:sz="0" w:space="0" w:color="auto"/>
              </w:divBdr>
              <w:divsChild>
                <w:div w:id="1618562131">
                  <w:marLeft w:val="0"/>
                  <w:marRight w:val="0"/>
                  <w:marTop w:val="0"/>
                  <w:marBottom w:val="0"/>
                  <w:divBdr>
                    <w:top w:val="none" w:sz="0" w:space="0" w:color="auto"/>
                    <w:left w:val="none" w:sz="0" w:space="0" w:color="auto"/>
                    <w:bottom w:val="none" w:sz="0" w:space="0" w:color="auto"/>
                    <w:right w:val="none" w:sz="0" w:space="0" w:color="auto"/>
                  </w:divBdr>
                </w:div>
                <w:div w:id="610866849">
                  <w:marLeft w:val="0"/>
                  <w:marRight w:val="0"/>
                  <w:marTop w:val="0"/>
                  <w:marBottom w:val="0"/>
                  <w:divBdr>
                    <w:top w:val="none" w:sz="0" w:space="0" w:color="auto"/>
                    <w:left w:val="none" w:sz="0" w:space="0" w:color="auto"/>
                    <w:bottom w:val="none" w:sz="0" w:space="0" w:color="auto"/>
                    <w:right w:val="none" w:sz="0" w:space="0" w:color="auto"/>
                  </w:divBdr>
                </w:div>
                <w:div w:id="479734029">
                  <w:marLeft w:val="0"/>
                  <w:marRight w:val="0"/>
                  <w:marTop w:val="0"/>
                  <w:marBottom w:val="0"/>
                  <w:divBdr>
                    <w:top w:val="none" w:sz="0" w:space="0" w:color="auto"/>
                    <w:left w:val="none" w:sz="0" w:space="0" w:color="auto"/>
                    <w:bottom w:val="none" w:sz="0" w:space="0" w:color="auto"/>
                    <w:right w:val="none" w:sz="0" w:space="0" w:color="auto"/>
                  </w:divBdr>
                </w:div>
                <w:div w:id="21077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6750">
          <w:marLeft w:val="0"/>
          <w:marRight w:val="0"/>
          <w:marTop w:val="0"/>
          <w:marBottom w:val="0"/>
          <w:divBdr>
            <w:top w:val="none" w:sz="0" w:space="0" w:color="auto"/>
            <w:left w:val="none" w:sz="0" w:space="0" w:color="auto"/>
            <w:bottom w:val="none" w:sz="0" w:space="0" w:color="auto"/>
            <w:right w:val="none" w:sz="0" w:space="0" w:color="auto"/>
          </w:divBdr>
        </w:div>
        <w:div w:id="249436916">
          <w:marLeft w:val="0"/>
          <w:marRight w:val="0"/>
          <w:marTop w:val="0"/>
          <w:marBottom w:val="0"/>
          <w:divBdr>
            <w:top w:val="none" w:sz="0" w:space="0" w:color="auto"/>
            <w:left w:val="none" w:sz="0" w:space="0" w:color="auto"/>
            <w:bottom w:val="none" w:sz="0" w:space="0" w:color="auto"/>
            <w:right w:val="none" w:sz="0" w:space="0" w:color="auto"/>
          </w:divBdr>
        </w:div>
        <w:div w:id="26834508">
          <w:marLeft w:val="0"/>
          <w:marRight w:val="0"/>
          <w:marTop w:val="0"/>
          <w:marBottom w:val="0"/>
          <w:divBdr>
            <w:top w:val="none" w:sz="0" w:space="0" w:color="auto"/>
            <w:left w:val="none" w:sz="0" w:space="0" w:color="auto"/>
            <w:bottom w:val="none" w:sz="0" w:space="0" w:color="auto"/>
            <w:right w:val="none" w:sz="0" w:space="0" w:color="auto"/>
          </w:divBdr>
        </w:div>
        <w:div w:id="2018803495">
          <w:marLeft w:val="0"/>
          <w:marRight w:val="0"/>
          <w:marTop w:val="0"/>
          <w:marBottom w:val="0"/>
          <w:divBdr>
            <w:top w:val="none" w:sz="0" w:space="0" w:color="auto"/>
            <w:left w:val="none" w:sz="0" w:space="0" w:color="auto"/>
            <w:bottom w:val="none" w:sz="0" w:space="0" w:color="auto"/>
            <w:right w:val="none" w:sz="0" w:space="0" w:color="auto"/>
          </w:divBdr>
        </w:div>
        <w:div w:id="548147809">
          <w:marLeft w:val="0"/>
          <w:marRight w:val="0"/>
          <w:marTop w:val="0"/>
          <w:marBottom w:val="0"/>
          <w:divBdr>
            <w:top w:val="none" w:sz="0" w:space="0" w:color="auto"/>
            <w:left w:val="none" w:sz="0" w:space="0" w:color="auto"/>
            <w:bottom w:val="none" w:sz="0" w:space="0" w:color="auto"/>
            <w:right w:val="none" w:sz="0" w:space="0" w:color="auto"/>
          </w:divBdr>
        </w:div>
        <w:div w:id="835724635">
          <w:marLeft w:val="0"/>
          <w:marRight w:val="0"/>
          <w:marTop w:val="0"/>
          <w:marBottom w:val="0"/>
          <w:divBdr>
            <w:top w:val="none" w:sz="0" w:space="0" w:color="auto"/>
            <w:left w:val="none" w:sz="0" w:space="0" w:color="auto"/>
            <w:bottom w:val="none" w:sz="0" w:space="0" w:color="auto"/>
            <w:right w:val="none" w:sz="0" w:space="0" w:color="auto"/>
          </w:divBdr>
        </w:div>
        <w:div w:id="84941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/wp-content/uploads/kennedy/departments/Documents/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A8219-F8B2-42E2-8810-90DD9196559A}"/>
</file>

<file path=customXml/itemProps2.xml><?xml version="1.0" encoding="utf-8"?>
<ds:datastoreItem xmlns:ds="http://schemas.openxmlformats.org/officeDocument/2006/customXml" ds:itemID="{35B4EBE7-552B-412F-904D-C7E728485ECB}"/>
</file>

<file path=customXml/itemProps3.xml><?xml version="1.0" encoding="utf-8"?>
<ds:datastoreItem xmlns:ds="http://schemas.openxmlformats.org/officeDocument/2006/customXml" ds:itemID="{0D2C3C7F-B2D9-4187-939C-C1E023A83AE5}"/>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2020NAEYC Annual Data</dc:title>
  <dc:subject/>
  <dc:creator>Nadia Richardson</dc:creator>
  <cp:keywords/>
  <dc:description/>
  <cp:lastModifiedBy>Yolanda Simmons</cp:lastModifiedBy>
  <cp:revision>2</cp:revision>
  <dcterms:created xsi:type="dcterms:W3CDTF">2020-09-30T19:30:00Z</dcterms:created>
  <dcterms:modified xsi:type="dcterms:W3CDTF">2020-09-30T19:30:00Z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